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ED720" w14:textId="77777777" w:rsidR="00C32ACB" w:rsidRPr="00C775F7" w:rsidRDefault="00027E18" w:rsidP="00852E53">
      <w:pPr>
        <w:pStyle w:val="Title"/>
        <w:tabs>
          <w:tab w:val="left" w:pos="10440"/>
        </w:tabs>
        <w:spacing w:after="120"/>
        <w:ind w:left="3780" w:right="450"/>
        <w:rPr>
          <w:rFonts w:ascii="Trebuchet MS" w:hAnsi="Trebuchet MS" w:cs="Arial"/>
          <w:sz w:val="40"/>
        </w:rPr>
      </w:pPr>
      <w:r w:rsidRPr="00C775F7">
        <w:rPr>
          <w:rFonts w:ascii="Trebuchet MS" w:hAnsi="Trebuchet MS" w:cs="Arial"/>
          <w:noProof/>
        </w:rPr>
        <w:drawing>
          <wp:anchor distT="0" distB="0" distL="114300" distR="114300" simplePos="0" relativeHeight="251659264" behindDoc="0" locked="0" layoutInCell="1" allowOverlap="1" wp14:anchorId="7D8C93F3" wp14:editId="64AAD62C">
            <wp:simplePos x="0" y="0"/>
            <wp:positionH relativeFrom="column">
              <wp:posOffset>0</wp:posOffset>
            </wp:positionH>
            <wp:positionV relativeFrom="paragraph">
              <wp:posOffset>-99695</wp:posOffset>
            </wp:positionV>
            <wp:extent cx="2171700" cy="1072281"/>
            <wp:effectExtent l="0" t="0" r="0" b="0"/>
            <wp:wrapNone/>
            <wp:docPr id="3" name="Picture 3" descr="Macintosh HD:Users:mististorie:Desktop:Rebranding:new naadac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mististorie:Desktop:Rebranding:new naadac log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072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645F" w:rsidRPr="00C775F7">
        <w:rPr>
          <w:rFonts w:ascii="Trebuchet MS" w:hAnsi="Trebuchet MS" w:cs="Arial"/>
          <w:sz w:val="40"/>
        </w:rPr>
        <w:t xml:space="preserve">The Addiction Professional Business </w:t>
      </w:r>
      <w:r w:rsidR="005230C7" w:rsidRPr="00C775F7">
        <w:rPr>
          <w:rFonts w:ascii="Trebuchet MS" w:hAnsi="Trebuchet MS" w:cs="Arial"/>
          <w:sz w:val="40"/>
        </w:rPr>
        <w:t xml:space="preserve">Learning </w:t>
      </w:r>
      <w:r w:rsidR="00C32ACB" w:rsidRPr="00C775F7">
        <w:rPr>
          <w:rFonts w:ascii="Trebuchet MS" w:hAnsi="Trebuchet MS" w:cs="Arial"/>
          <w:sz w:val="40"/>
        </w:rPr>
        <w:t>Collaborative</w:t>
      </w:r>
    </w:p>
    <w:p w14:paraId="08EFB9CD" w14:textId="77777777" w:rsidR="0049645F" w:rsidRPr="00C775F7" w:rsidRDefault="00027E18" w:rsidP="00852E53">
      <w:pPr>
        <w:pStyle w:val="Subtitle"/>
        <w:tabs>
          <w:tab w:val="left" w:pos="10440"/>
        </w:tabs>
        <w:spacing w:after="0" w:line="240" w:lineRule="auto"/>
        <w:ind w:left="3780" w:right="450"/>
        <w:rPr>
          <w:rFonts w:ascii="Trebuchet MS" w:hAnsi="Trebuchet MS" w:cs="Arial"/>
          <w:sz w:val="22"/>
        </w:rPr>
      </w:pPr>
      <w:r w:rsidRPr="00C775F7">
        <w:rPr>
          <w:rFonts w:ascii="Trebuchet MS" w:hAnsi="Trebuchet MS" w:cs="Arial"/>
          <w:noProof/>
        </w:rPr>
        <w:drawing>
          <wp:anchor distT="0" distB="0" distL="114300" distR="114300" simplePos="0" relativeHeight="251661312" behindDoc="0" locked="0" layoutInCell="1" allowOverlap="1" wp14:anchorId="596D7C2C" wp14:editId="283C6229">
            <wp:simplePos x="0" y="0"/>
            <wp:positionH relativeFrom="column">
              <wp:posOffset>0</wp:posOffset>
            </wp:positionH>
            <wp:positionV relativeFrom="paragraph">
              <wp:posOffset>237490</wp:posOffset>
            </wp:positionV>
            <wp:extent cx="2171700" cy="514350"/>
            <wp:effectExtent l="0" t="0" r="12700" b="0"/>
            <wp:wrapNone/>
            <wp:docPr id="1" name="Picture 1" descr="Macintosh HD:Users:mististorie:Desktop:Via Positiva Learning Collaborative:Vi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ististorie:Desktop:Via Positiva Learning Collaborative:Via Log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645F" w:rsidRPr="00C775F7">
        <w:rPr>
          <w:rFonts w:ascii="Trebuchet MS" w:hAnsi="Trebuchet MS" w:cs="Arial"/>
          <w:sz w:val="22"/>
        </w:rPr>
        <w:t>Elevating</w:t>
      </w:r>
      <w:r w:rsidR="00DB7A08" w:rsidRPr="00C775F7">
        <w:rPr>
          <w:rFonts w:ascii="Trebuchet MS" w:hAnsi="Trebuchet MS" w:cs="Arial"/>
          <w:sz w:val="22"/>
        </w:rPr>
        <w:t xml:space="preserve"> and Focusing</w:t>
      </w:r>
      <w:r w:rsidR="0050573D" w:rsidRPr="00C775F7">
        <w:rPr>
          <w:rFonts w:ascii="Trebuchet MS" w:hAnsi="Trebuchet MS" w:cs="Arial"/>
          <w:sz w:val="22"/>
        </w:rPr>
        <w:t xml:space="preserve"> Addiction, </w:t>
      </w:r>
      <w:r w:rsidR="0049645F" w:rsidRPr="00C775F7">
        <w:rPr>
          <w:rFonts w:ascii="Trebuchet MS" w:hAnsi="Trebuchet MS" w:cs="Arial"/>
          <w:sz w:val="22"/>
        </w:rPr>
        <w:t>Co-Occurring</w:t>
      </w:r>
      <w:r w:rsidR="0050573D" w:rsidRPr="00C775F7">
        <w:rPr>
          <w:rFonts w:ascii="Trebuchet MS" w:hAnsi="Trebuchet MS" w:cs="Arial"/>
          <w:sz w:val="22"/>
        </w:rPr>
        <w:t xml:space="preserve"> and Recovery</w:t>
      </w:r>
      <w:r w:rsidR="0049645F" w:rsidRPr="00C775F7">
        <w:rPr>
          <w:rFonts w:ascii="Trebuchet MS" w:hAnsi="Trebuchet MS" w:cs="Arial"/>
          <w:sz w:val="22"/>
        </w:rPr>
        <w:t xml:space="preserve"> Business Practices for Sustainability, Fiscal Strength, Clinical Excellence, Recovery Orientation and Industry Leadership</w:t>
      </w:r>
    </w:p>
    <w:p w14:paraId="6FB7A96A" w14:textId="77777777" w:rsidR="00C32ACB" w:rsidRPr="00C32ACB" w:rsidRDefault="00C32ACB" w:rsidP="00C32ACB">
      <w:pPr>
        <w:tabs>
          <w:tab w:val="left" w:pos="1853"/>
          <w:tab w:val="left" w:pos="2040"/>
        </w:tabs>
        <w:spacing w:after="0" w:line="240" w:lineRule="auto"/>
      </w:pPr>
      <w:r>
        <w:tab/>
      </w:r>
      <w:r>
        <w:tab/>
      </w:r>
    </w:p>
    <w:p w14:paraId="2F8E998F" w14:textId="319BE53E" w:rsidR="00852E53" w:rsidRDefault="00852E53" w:rsidP="00852E53">
      <w:pPr>
        <w:pStyle w:val="Heading2"/>
        <w:tabs>
          <w:tab w:val="left" w:pos="3540"/>
        </w:tabs>
        <w:spacing w:before="0" w:line="240" w:lineRule="auto"/>
      </w:pPr>
      <w:r>
        <w:tab/>
      </w:r>
    </w:p>
    <w:p w14:paraId="7228D48A" w14:textId="77777777" w:rsidR="008B5BCC" w:rsidRPr="00CF02CE" w:rsidRDefault="00872A09" w:rsidP="008B5BCC">
      <w:r w:rsidRPr="00CF02CE">
        <w:t xml:space="preserve">Most addiction and co-occurring treatment agencies are evaluating how to help </w:t>
      </w:r>
      <w:r w:rsidR="008B5BCC" w:rsidRPr="00CF02CE">
        <w:t>e</w:t>
      </w:r>
      <w:r w:rsidRPr="00CF02CE">
        <w:t xml:space="preserve">nsure their agency's viability, sustainability, funding, and </w:t>
      </w:r>
      <w:r w:rsidR="000155F6">
        <w:t xml:space="preserve">seeking </w:t>
      </w:r>
      <w:r w:rsidRPr="00CF02CE">
        <w:t>growth opportunities within this evolving landscape.</w:t>
      </w:r>
      <w:r w:rsidR="006703DE" w:rsidRPr="00CF02CE">
        <w:t xml:space="preserve"> Get the education, guidance, and consultation your organization nee</w:t>
      </w:r>
      <w:r w:rsidR="00AE3DD1">
        <w:t>ds from those who know it best!</w:t>
      </w:r>
    </w:p>
    <w:p w14:paraId="236EACA5" w14:textId="77777777" w:rsidR="00CE5EA2" w:rsidRPr="0087650B" w:rsidRDefault="005F5267" w:rsidP="005F5267">
      <w:pPr>
        <w:contextualSpacing/>
      </w:pPr>
      <w:r w:rsidRPr="0087650B">
        <w:t xml:space="preserve">The </w:t>
      </w:r>
      <w:r w:rsidR="002F7133" w:rsidRPr="0087650B">
        <w:t xml:space="preserve">Addiction Professional </w:t>
      </w:r>
      <w:r w:rsidR="00F579E3" w:rsidRPr="0087650B">
        <w:t xml:space="preserve">Business </w:t>
      </w:r>
      <w:r w:rsidRPr="0087650B">
        <w:t xml:space="preserve">Learning Collaborative </w:t>
      </w:r>
      <w:r w:rsidR="00C91BC9" w:rsidRPr="0087650B">
        <w:t xml:space="preserve">is </w:t>
      </w:r>
      <w:r w:rsidR="006D45AD" w:rsidRPr="0087650B">
        <w:t xml:space="preserve">an </w:t>
      </w:r>
      <w:r w:rsidR="000155F6">
        <w:t xml:space="preserve">intensive, </w:t>
      </w:r>
      <w:r w:rsidR="006D45AD" w:rsidRPr="0087650B">
        <w:t xml:space="preserve">interactive </w:t>
      </w:r>
      <w:r w:rsidR="00817347" w:rsidRPr="0087650B">
        <w:t xml:space="preserve">program that is designed to </w:t>
      </w:r>
      <w:r w:rsidR="008B5BCC" w:rsidRPr="0087650B">
        <w:t xml:space="preserve">help your organization </w:t>
      </w:r>
      <w:r w:rsidR="00A973DE" w:rsidRPr="0087650B">
        <w:t>maximize current funding and service opportunities inherent in healthcare reform</w:t>
      </w:r>
      <w:r w:rsidR="00C91BC9" w:rsidRPr="0087650B">
        <w:t xml:space="preserve"> and identify and address barriers </w:t>
      </w:r>
      <w:r w:rsidR="00817347" w:rsidRPr="0087650B">
        <w:t>to growth</w:t>
      </w:r>
      <w:r w:rsidR="00696D58" w:rsidRPr="0087650B">
        <w:t xml:space="preserve">.  </w:t>
      </w:r>
      <w:r w:rsidR="006D45AD" w:rsidRPr="0087650B">
        <w:t xml:space="preserve">Over </w:t>
      </w:r>
      <w:r w:rsidR="00766564">
        <w:t>six months</w:t>
      </w:r>
      <w:r w:rsidR="006D45AD" w:rsidRPr="0087650B">
        <w:t>, p</w:t>
      </w:r>
      <w:r w:rsidR="002B2F78" w:rsidRPr="0087650B">
        <w:t>articipant</w:t>
      </w:r>
      <w:r w:rsidR="00817347" w:rsidRPr="0087650B">
        <w:t>s</w:t>
      </w:r>
      <w:r w:rsidR="002B2F78" w:rsidRPr="0087650B">
        <w:t xml:space="preserve"> will </w:t>
      </w:r>
      <w:r w:rsidR="00817347" w:rsidRPr="0087650B">
        <w:t>receive training and consulting directly from industry leaders, highly successful provider CEOs, and national</w:t>
      </w:r>
      <w:r w:rsidR="001E3E1A">
        <w:t xml:space="preserve"> subject matter experts through live webinars,</w:t>
      </w:r>
      <w:r w:rsidR="00817347" w:rsidRPr="0087650B">
        <w:t xml:space="preserve"> fireside chats, and </w:t>
      </w:r>
      <w:r w:rsidR="006D45AD" w:rsidRPr="0087650B">
        <w:t>private consultation</w:t>
      </w:r>
      <w:r w:rsidR="00817347" w:rsidRPr="0087650B">
        <w:t xml:space="preserve">.  </w:t>
      </w:r>
      <w:r w:rsidR="006D45AD" w:rsidRPr="0087650B">
        <w:t xml:space="preserve">With hands-on guidance, participants will </w:t>
      </w:r>
      <w:r w:rsidR="00696D58" w:rsidRPr="0087650B">
        <w:t>develop</w:t>
      </w:r>
      <w:r w:rsidR="002B2F78" w:rsidRPr="0087650B">
        <w:t xml:space="preserve"> a </w:t>
      </w:r>
      <w:r w:rsidR="0087650B" w:rsidRPr="0087650B">
        <w:t>concise, easy to follow, and comprehensive</w:t>
      </w:r>
      <w:r w:rsidR="002B2F78" w:rsidRPr="0087650B">
        <w:t xml:space="preserve"> sustainability and growth pl</w:t>
      </w:r>
      <w:r w:rsidR="00696D58" w:rsidRPr="0087650B">
        <w:t>an</w:t>
      </w:r>
      <w:r w:rsidR="006D45AD" w:rsidRPr="0087650B">
        <w:t xml:space="preserve"> for their organization</w:t>
      </w:r>
      <w:r w:rsidR="002B2F78" w:rsidRPr="0087650B">
        <w:t xml:space="preserve"> using a proven and effective sus</w:t>
      </w:r>
      <w:r w:rsidR="00696D58" w:rsidRPr="0087650B">
        <w:t>t</w:t>
      </w:r>
      <w:r w:rsidR="00817347" w:rsidRPr="0087650B">
        <w:t xml:space="preserve">ainability and growth template. </w:t>
      </w:r>
    </w:p>
    <w:p w14:paraId="67E1E8D1" w14:textId="77777777" w:rsidR="0087650B" w:rsidRPr="00CF02CE" w:rsidRDefault="0087650B" w:rsidP="005F5267">
      <w:pPr>
        <w:contextualSpacing/>
      </w:pPr>
    </w:p>
    <w:p w14:paraId="60AD8093" w14:textId="77777777" w:rsidR="00CE5EA2" w:rsidRPr="00CF02CE" w:rsidRDefault="00475B48" w:rsidP="005F5267">
      <w:pPr>
        <w:contextualSpacing/>
      </w:pPr>
      <w:r w:rsidRPr="00CF02CE">
        <w:t xml:space="preserve">This Learning Collaborative will </w:t>
      </w:r>
      <w:r w:rsidR="005F5267" w:rsidRPr="00CF02CE">
        <w:t>focus</w:t>
      </w:r>
      <w:r w:rsidR="002F7133" w:rsidRPr="00CF02CE">
        <w:t xml:space="preserve"> </w:t>
      </w:r>
      <w:r w:rsidR="005F5267" w:rsidRPr="00CF02CE">
        <w:t>on</w:t>
      </w:r>
      <w:r w:rsidRPr="00CF02CE">
        <w:t>:</w:t>
      </w:r>
      <w:r w:rsidR="005F5267" w:rsidRPr="00CF02CE">
        <w:t xml:space="preserve"> </w:t>
      </w:r>
    </w:p>
    <w:p w14:paraId="7B2A81C2" w14:textId="77777777" w:rsidR="00CE5EA2" w:rsidRPr="00CF02CE" w:rsidRDefault="00CE5EA2" w:rsidP="006D45AD">
      <w:pPr>
        <w:pStyle w:val="ListParagraph"/>
        <w:numPr>
          <w:ilvl w:val="0"/>
          <w:numId w:val="10"/>
        </w:numPr>
        <w:ind w:left="900" w:hanging="540"/>
      </w:pPr>
      <w:r w:rsidRPr="00CF02CE">
        <w:t>I</w:t>
      </w:r>
      <w:r w:rsidR="005F5267" w:rsidRPr="00CF02CE">
        <w:t>ncreasing funding and sustainability</w:t>
      </w:r>
    </w:p>
    <w:p w14:paraId="28C0E112" w14:textId="77777777" w:rsidR="00CE5EA2" w:rsidRPr="00CF02CE" w:rsidRDefault="00CE5EA2" w:rsidP="006D45AD">
      <w:pPr>
        <w:pStyle w:val="ListParagraph"/>
        <w:numPr>
          <w:ilvl w:val="0"/>
          <w:numId w:val="10"/>
        </w:numPr>
        <w:ind w:left="900" w:hanging="540"/>
      </w:pPr>
      <w:r w:rsidRPr="00CF02CE">
        <w:t>U</w:t>
      </w:r>
      <w:r w:rsidR="005F5267" w:rsidRPr="00CF02CE">
        <w:t xml:space="preserve">nderstanding </w:t>
      </w:r>
      <w:r w:rsidR="000155F6">
        <w:t xml:space="preserve">and effectively working with </w:t>
      </w:r>
      <w:r w:rsidR="005F5267" w:rsidRPr="00CF02CE">
        <w:t>third party payers (federal, state, managed care and insurance companies)</w:t>
      </w:r>
    </w:p>
    <w:p w14:paraId="0A87311B" w14:textId="77777777" w:rsidR="00CE5EA2" w:rsidRPr="00CF02CE" w:rsidRDefault="00CE5EA2" w:rsidP="006D45AD">
      <w:pPr>
        <w:pStyle w:val="ListParagraph"/>
        <w:numPr>
          <w:ilvl w:val="0"/>
          <w:numId w:val="10"/>
        </w:numPr>
        <w:ind w:left="900" w:hanging="540"/>
      </w:pPr>
      <w:r w:rsidRPr="00CF02CE">
        <w:t>D</w:t>
      </w:r>
      <w:r w:rsidR="005F5267" w:rsidRPr="00CF02CE">
        <w:t xml:space="preserve">eveloping strategic partnerships (such as </w:t>
      </w:r>
      <w:r w:rsidR="000155F6">
        <w:t xml:space="preserve">with </w:t>
      </w:r>
      <w:r w:rsidR="005F5267" w:rsidRPr="00CF02CE">
        <w:t>ACO’s, Health Homes, Group Practices, FQHC, Re</w:t>
      </w:r>
      <w:r w:rsidR="00F27A37" w:rsidRPr="00CF02CE">
        <w:t xml:space="preserve">covery Organizations, </w:t>
      </w:r>
      <w:r w:rsidR="000155F6">
        <w:t xml:space="preserve">and </w:t>
      </w:r>
      <w:r w:rsidR="00F27A37" w:rsidRPr="00CF02CE">
        <w:t>hospital</w:t>
      </w:r>
      <w:r w:rsidR="000155F6">
        <w:t xml:space="preserve"> systems</w:t>
      </w:r>
      <w:r w:rsidR="00F27A37" w:rsidRPr="00CF02CE">
        <w:t>)</w:t>
      </w:r>
    </w:p>
    <w:p w14:paraId="7F7389CF" w14:textId="77777777" w:rsidR="007327F8" w:rsidRPr="00CF02CE" w:rsidRDefault="00CE5EA2" w:rsidP="006D45AD">
      <w:pPr>
        <w:pStyle w:val="ListParagraph"/>
        <w:numPr>
          <w:ilvl w:val="0"/>
          <w:numId w:val="10"/>
        </w:numPr>
        <w:ind w:left="900" w:hanging="540"/>
      </w:pPr>
      <w:r w:rsidRPr="00CF02CE">
        <w:t>L</w:t>
      </w:r>
      <w:r w:rsidR="005F5267" w:rsidRPr="00CF02CE">
        <w:t>earning how to access grants and manage contracts</w:t>
      </w:r>
      <w:r w:rsidR="00F27A37" w:rsidRPr="00CF02CE">
        <w:t xml:space="preserve"> while insuring back-office business practices are in place to meet current demands</w:t>
      </w:r>
    </w:p>
    <w:p w14:paraId="0E7AC276" w14:textId="11239B13" w:rsidR="001B7FA0" w:rsidRPr="001B7FA0" w:rsidRDefault="000155F6" w:rsidP="001B7FA0">
      <w:pPr>
        <w:pStyle w:val="ListParagraph"/>
        <w:numPr>
          <w:ilvl w:val="0"/>
          <w:numId w:val="10"/>
        </w:numPr>
        <w:ind w:left="900" w:hanging="540"/>
        <w:rPr>
          <w:b/>
        </w:rPr>
      </w:pPr>
      <w:r>
        <w:t>Executive leadership development and s</w:t>
      </w:r>
      <w:r w:rsidR="007327F8" w:rsidRPr="00CF02CE">
        <w:t>o much more!</w:t>
      </w:r>
    </w:p>
    <w:p w14:paraId="1682F0E0" w14:textId="77777777" w:rsidR="00AE3DD1" w:rsidRPr="00F1264A" w:rsidRDefault="00AE3DD1" w:rsidP="00AE3DD1">
      <w:r>
        <w:t>NAADAC and Via Positiva</w:t>
      </w:r>
      <w:r w:rsidRPr="00F1264A">
        <w:t xml:space="preserve"> know where the opportunities are and </w:t>
      </w:r>
      <w:r w:rsidR="001E3E1A">
        <w:t xml:space="preserve">how to </w:t>
      </w:r>
      <w:r w:rsidRPr="00F1264A">
        <w:t xml:space="preserve">help you get </w:t>
      </w:r>
      <w:r w:rsidR="001E3E1A">
        <w:t xml:space="preserve">to </w:t>
      </w:r>
      <w:r w:rsidRPr="00F1264A">
        <w:t>them</w:t>
      </w:r>
      <w:r w:rsidR="001E3E1A">
        <w:t>.</w:t>
      </w:r>
      <w:r>
        <w:t xml:space="preserve"> W</w:t>
      </w:r>
      <w:r w:rsidRPr="00F1264A">
        <w:t>e will be holding nothing back to help insure your success</w:t>
      </w:r>
      <w:r w:rsidR="001E3E1A">
        <w:t xml:space="preserve"> </w:t>
      </w:r>
      <w:r w:rsidRPr="00F1264A">
        <w:t>--</w:t>
      </w:r>
      <w:r w:rsidR="001E3E1A">
        <w:t xml:space="preserve"> </w:t>
      </w:r>
      <w:r w:rsidRPr="00F1264A">
        <w:t>for you as an execut</w:t>
      </w:r>
      <w:r>
        <w:t>i</w:t>
      </w:r>
      <w:r w:rsidR="001E3E1A">
        <w:t xml:space="preserve">ve leader and for your agency. </w:t>
      </w:r>
      <w:r>
        <w:t>Register today!</w:t>
      </w:r>
    </w:p>
    <w:p w14:paraId="4445DC02" w14:textId="4528C83F" w:rsidR="001B7FA0" w:rsidRDefault="00AE3DD1">
      <w:pPr>
        <w:contextualSpacing/>
        <w:rPr>
          <w:b/>
        </w:rPr>
      </w:pPr>
      <w:r w:rsidRPr="0087650B">
        <w:rPr>
          <w:b/>
        </w:rPr>
        <w:t>Space is l</w:t>
      </w:r>
      <w:r>
        <w:rPr>
          <w:b/>
        </w:rPr>
        <w:t>imited. Registration closes Wednesday, April 17, 2014!</w:t>
      </w:r>
    </w:p>
    <w:p w14:paraId="36F81DA6" w14:textId="0BB7D77E" w:rsidR="00CF02CE" w:rsidRPr="00B673B6" w:rsidRDefault="00CF02CE">
      <w:pPr>
        <w:contextualSpacing/>
        <w:rPr>
          <w:b/>
        </w:rPr>
      </w:pPr>
    </w:p>
    <w:p w14:paraId="67962ED6" w14:textId="77777777" w:rsidR="009F63C3" w:rsidRPr="00B673B6" w:rsidRDefault="00DF0B62" w:rsidP="0087650B">
      <w:pPr>
        <w:pStyle w:val="Heading2"/>
      </w:pPr>
      <w:r w:rsidRPr="00B673B6">
        <w:t>What’s Included:</w:t>
      </w:r>
    </w:p>
    <w:p w14:paraId="078FB72A" w14:textId="77777777" w:rsidR="009F63C3" w:rsidRPr="00B673B6" w:rsidRDefault="00B673B6" w:rsidP="009F63C3">
      <w:pPr>
        <w:pStyle w:val="ListParagraph"/>
        <w:numPr>
          <w:ilvl w:val="0"/>
          <w:numId w:val="5"/>
        </w:numPr>
      </w:pPr>
      <w:r>
        <w:t xml:space="preserve">A </w:t>
      </w:r>
      <w:r w:rsidRPr="00B673B6">
        <w:t>Kicko</w:t>
      </w:r>
      <w:r w:rsidR="009F63C3" w:rsidRPr="00B673B6">
        <w:t xml:space="preserve">ff </w:t>
      </w:r>
      <w:r w:rsidR="00E80D12" w:rsidRPr="00B673B6">
        <w:t xml:space="preserve">Webinar </w:t>
      </w:r>
      <w:r w:rsidR="009F63C3" w:rsidRPr="00B673B6">
        <w:t>Conferen</w:t>
      </w:r>
      <w:r w:rsidR="0059379A" w:rsidRPr="00B673B6">
        <w:t>ce</w:t>
      </w:r>
      <w:r w:rsidR="00E80D12" w:rsidRPr="00B673B6">
        <w:t xml:space="preserve"> that</w:t>
      </w:r>
      <w:r w:rsidR="0059379A" w:rsidRPr="00B673B6">
        <w:t xml:space="preserve"> </w:t>
      </w:r>
      <w:r w:rsidR="009F63C3" w:rsidRPr="00B673B6">
        <w:t>prov</w:t>
      </w:r>
      <w:r w:rsidR="00E80D12" w:rsidRPr="00B673B6">
        <w:t xml:space="preserve">ides an overview of the </w:t>
      </w:r>
      <w:r w:rsidR="007278B1" w:rsidRPr="00B673B6">
        <w:t>project</w:t>
      </w:r>
      <w:r w:rsidR="009F63C3" w:rsidRPr="00B673B6">
        <w:t xml:space="preserve">, </w:t>
      </w:r>
      <w:r w:rsidR="00E80D12" w:rsidRPr="00B673B6">
        <w:t xml:space="preserve">outlines </w:t>
      </w:r>
      <w:r w:rsidR="009F63C3" w:rsidRPr="00B673B6">
        <w:t xml:space="preserve">expectations, </w:t>
      </w:r>
      <w:r w:rsidR="00E80D12" w:rsidRPr="00B673B6">
        <w:t xml:space="preserve">introduces </w:t>
      </w:r>
      <w:r w:rsidR="009F63C3" w:rsidRPr="00B673B6">
        <w:t>the facilitators and coaches</w:t>
      </w:r>
      <w:r w:rsidR="007278B1" w:rsidRPr="00B673B6">
        <w:t xml:space="preserve">, and </w:t>
      </w:r>
      <w:r w:rsidR="00E80D12" w:rsidRPr="00B673B6">
        <w:t>describes</w:t>
      </w:r>
      <w:r w:rsidR="009F63C3" w:rsidRPr="00B673B6">
        <w:t xml:space="preserve"> a snapshot of </w:t>
      </w:r>
      <w:r w:rsidRPr="00B673B6">
        <w:t>the current funding environment</w:t>
      </w:r>
      <w:r>
        <w:t xml:space="preserve"> </w:t>
      </w:r>
    </w:p>
    <w:p w14:paraId="2F727D8E" w14:textId="77777777" w:rsidR="00E4252F" w:rsidRPr="00B673B6" w:rsidRDefault="00E80D12" w:rsidP="00D672D0">
      <w:pPr>
        <w:pStyle w:val="ListParagraph"/>
        <w:numPr>
          <w:ilvl w:val="0"/>
          <w:numId w:val="5"/>
        </w:numPr>
      </w:pPr>
      <w:r w:rsidRPr="00B673B6">
        <w:t xml:space="preserve">Six monthly </w:t>
      </w:r>
      <w:r w:rsidR="00B673B6" w:rsidRPr="00B673B6">
        <w:t>Training and D</w:t>
      </w:r>
      <w:r w:rsidR="009F63C3" w:rsidRPr="00B673B6">
        <w:t xml:space="preserve">evelopment </w:t>
      </w:r>
      <w:r w:rsidR="00B673B6" w:rsidRPr="00B673B6">
        <w:t>Webinars</w:t>
      </w:r>
    </w:p>
    <w:p w14:paraId="56478C5F" w14:textId="5F6AFE6A" w:rsidR="00926DC3" w:rsidRPr="00B673B6" w:rsidRDefault="00E80D12" w:rsidP="00D672D0">
      <w:pPr>
        <w:pStyle w:val="ListParagraph"/>
        <w:numPr>
          <w:ilvl w:val="0"/>
          <w:numId w:val="5"/>
        </w:numPr>
      </w:pPr>
      <w:r w:rsidRPr="00B673B6">
        <w:t xml:space="preserve">Six monthly </w:t>
      </w:r>
      <w:r w:rsidR="007B52D9">
        <w:t>Small Group S</w:t>
      </w:r>
      <w:r w:rsidR="00B673B6" w:rsidRPr="00B673B6">
        <w:t xml:space="preserve">essions </w:t>
      </w:r>
      <w:r w:rsidR="005F5267" w:rsidRPr="00B673B6">
        <w:t xml:space="preserve">for in-depth interaction </w:t>
      </w:r>
      <w:r w:rsidR="00926DC3" w:rsidRPr="00B673B6">
        <w:t>an</w:t>
      </w:r>
      <w:r w:rsidR="00B673B6" w:rsidRPr="00B673B6">
        <w:t>d strategic planning discussions</w:t>
      </w:r>
    </w:p>
    <w:p w14:paraId="11E105E9" w14:textId="26AF038C" w:rsidR="00926DC3" w:rsidRPr="00B673B6" w:rsidRDefault="00926DC3" w:rsidP="00D672D0">
      <w:pPr>
        <w:pStyle w:val="ListParagraph"/>
        <w:numPr>
          <w:ilvl w:val="0"/>
          <w:numId w:val="5"/>
        </w:numPr>
      </w:pPr>
      <w:r w:rsidRPr="00B673B6">
        <w:t xml:space="preserve">Two consultation and strategic planning calls specifically dedicated to your agency's sustainability and growth plan </w:t>
      </w:r>
    </w:p>
    <w:p w14:paraId="00AC769E" w14:textId="0563C6B0" w:rsidR="00926DC3" w:rsidRDefault="00926DC3" w:rsidP="00D672D0">
      <w:pPr>
        <w:pStyle w:val="ListParagraph"/>
        <w:numPr>
          <w:ilvl w:val="0"/>
          <w:numId w:val="5"/>
        </w:numPr>
      </w:pPr>
      <w:r w:rsidRPr="00B673B6">
        <w:lastRenderedPageBreak/>
        <w:t>Seven informal "fireside chats" presented by industry leaders and insiders on topics identi</w:t>
      </w:r>
      <w:r w:rsidR="0070570D">
        <w:t>fied by LC members and faculty.</w:t>
      </w:r>
    </w:p>
    <w:p w14:paraId="734F3D00" w14:textId="2327DFF0" w:rsidR="00B54E88" w:rsidRDefault="000155F6" w:rsidP="00B54E88">
      <w:pPr>
        <w:pStyle w:val="ListParagraph"/>
        <w:numPr>
          <w:ilvl w:val="0"/>
          <w:numId w:val="5"/>
        </w:numPr>
      </w:pPr>
      <w:r>
        <w:t xml:space="preserve">Includes </w:t>
      </w:r>
      <w:r w:rsidR="0087650B">
        <w:t>Organizational Membership</w:t>
      </w:r>
      <w:r>
        <w:t xml:space="preserve"> for new members</w:t>
      </w:r>
      <w:r w:rsidR="0087650B">
        <w:t xml:space="preserve"> with NAADAC</w:t>
      </w:r>
    </w:p>
    <w:p w14:paraId="41E40C48" w14:textId="5AD40F3B" w:rsidR="0087650B" w:rsidRDefault="00D42E2C" w:rsidP="00B54E88">
      <w:pPr>
        <w:pStyle w:val="ListParagraph"/>
        <w:numPr>
          <w:ilvl w:val="0"/>
          <w:numId w:val="5"/>
        </w:numPr>
      </w:pPr>
      <w:r>
        <w:t>38.5</w:t>
      </w:r>
      <w:r w:rsidR="00B54E88">
        <w:t xml:space="preserve"> </w:t>
      </w:r>
      <w:r w:rsidR="00B54E88" w:rsidRPr="00B54E88">
        <w:t>co</w:t>
      </w:r>
      <w:r w:rsidR="0070570D">
        <w:t>ntinuing education (CE) credits</w:t>
      </w:r>
    </w:p>
    <w:p w14:paraId="64B7FF18" w14:textId="58D47E43" w:rsidR="00BE396C" w:rsidRDefault="00BE396C" w:rsidP="00BE396C">
      <w:pPr>
        <w:pStyle w:val="ListParagraph"/>
        <w:numPr>
          <w:ilvl w:val="0"/>
          <w:numId w:val="5"/>
        </w:numPr>
      </w:pPr>
      <w:r w:rsidRPr="00C040EA">
        <w:t>Access to all trainings, ar</w:t>
      </w:r>
      <w:r w:rsidR="0070570D">
        <w:t>chives, resources and templates</w:t>
      </w:r>
    </w:p>
    <w:p w14:paraId="113FD867" w14:textId="77777777" w:rsidR="00BE396C" w:rsidRPr="00BE396C" w:rsidRDefault="00BE396C" w:rsidP="00BE396C">
      <w:pPr>
        <w:pStyle w:val="ListParagraph"/>
        <w:numPr>
          <w:ilvl w:val="0"/>
          <w:numId w:val="5"/>
        </w:numPr>
      </w:pPr>
      <w:r w:rsidRPr="00BE396C">
        <w:t xml:space="preserve">Access to a team of knowledgeable, successful, enthusiastic, supportive, passionate and creative industry experts and leaders </w:t>
      </w:r>
      <w:r w:rsidR="000155F6">
        <w:t xml:space="preserve">who will be </w:t>
      </w:r>
      <w:r w:rsidRPr="00BE396C">
        <w:t xml:space="preserve">on your team (for six months) to position your agency for increased funding and to walk you through this uncertain, </w:t>
      </w:r>
      <w:r w:rsidR="000155F6">
        <w:t xml:space="preserve">sometimes </w:t>
      </w:r>
      <w:r w:rsidRPr="00BE396C">
        <w:t xml:space="preserve">turbulent and </w:t>
      </w:r>
      <w:r w:rsidR="000155F6">
        <w:t xml:space="preserve">incredibly </w:t>
      </w:r>
      <w:r w:rsidRPr="00BE396C">
        <w:t xml:space="preserve">evolving healthcare landscape! </w:t>
      </w:r>
    </w:p>
    <w:p w14:paraId="174D5BCC" w14:textId="0C8638A3" w:rsidR="007B52D9" w:rsidRDefault="008428C2" w:rsidP="007B52D9">
      <w:pPr>
        <w:pStyle w:val="ListParagraph"/>
        <w:numPr>
          <w:ilvl w:val="0"/>
          <w:numId w:val="5"/>
        </w:numPr>
      </w:pPr>
      <w:r w:rsidRPr="00C21B35">
        <w:t>Lots of "al</w:t>
      </w:r>
      <w:r w:rsidR="00C21B35">
        <w:t xml:space="preserve"> </w:t>
      </w:r>
      <w:r w:rsidRPr="00C21B35">
        <w:t>a carte" options are also available, including on-site walk-thrus and consulting services/training, electronic health records training, a</w:t>
      </w:r>
      <w:r w:rsidR="00C21B35" w:rsidRPr="00C21B35">
        <w:t xml:space="preserve"> cutting-</w:t>
      </w:r>
      <w:r w:rsidRPr="00C21B35">
        <w:t xml:space="preserve">edge electronic clinical supervision tool </w:t>
      </w:r>
      <w:r w:rsidR="00C21B35" w:rsidRPr="00C21B35">
        <w:t xml:space="preserve">that </w:t>
      </w:r>
      <w:r w:rsidRPr="00C21B35">
        <w:t>tracks outcomes at the single p</w:t>
      </w:r>
      <w:r w:rsidR="00C21B35" w:rsidRPr="00C21B35">
        <w:t xml:space="preserve">ractitioner level in agencies </w:t>
      </w:r>
      <w:r w:rsidRPr="00C21B35">
        <w:t xml:space="preserve">and much, much more! </w:t>
      </w:r>
    </w:p>
    <w:p w14:paraId="77580ED7" w14:textId="0CEE611B" w:rsidR="00CB6A12" w:rsidRPr="00CB6A12" w:rsidRDefault="00CB6A12" w:rsidP="00CB6A12">
      <w:pPr>
        <w:pStyle w:val="ListParagraph"/>
      </w:pPr>
    </w:p>
    <w:p w14:paraId="0DC768E5" w14:textId="4F290A08" w:rsidR="007B52D9" w:rsidRPr="005E186F" w:rsidRDefault="007B52D9" w:rsidP="007B52D9">
      <w:pPr>
        <w:pStyle w:val="Heading2"/>
      </w:pPr>
      <w:r w:rsidRPr="005E186F">
        <w:t>Tuition:</w:t>
      </w:r>
    </w:p>
    <w:p w14:paraId="360FCD1E" w14:textId="3A5724E0" w:rsidR="007B52D9" w:rsidRDefault="007B52D9" w:rsidP="007B52D9">
      <w:pPr>
        <w:pStyle w:val="ListParagraph"/>
        <w:numPr>
          <w:ilvl w:val="0"/>
          <w:numId w:val="17"/>
        </w:numPr>
      </w:pPr>
      <w:r>
        <w:t xml:space="preserve">$4,700 for NAADAC </w:t>
      </w:r>
      <w:r w:rsidR="00067B77">
        <w:t>Organizational Members</w:t>
      </w:r>
    </w:p>
    <w:p w14:paraId="13F7359E" w14:textId="577B9A13" w:rsidR="00CB6A12" w:rsidRDefault="007B52D9" w:rsidP="00CB6A12">
      <w:pPr>
        <w:pStyle w:val="ListParagraph"/>
        <w:numPr>
          <w:ilvl w:val="0"/>
          <w:numId w:val="17"/>
        </w:numPr>
      </w:pPr>
      <w:r>
        <w:t xml:space="preserve">$5,500 for non-NAADAC </w:t>
      </w:r>
      <w:r w:rsidR="00067B77">
        <w:t>Organizational Members</w:t>
      </w:r>
    </w:p>
    <w:p w14:paraId="60DBBA8D" w14:textId="759324EF" w:rsidR="00CB6A12" w:rsidRDefault="00CB6A12" w:rsidP="00CB6A12">
      <w:pPr>
        <w:pStyle w:val="Heading2"/>
      </w:pPr>
    </w:p>
    <w:p w14:paraId="6C32602B" w14:textId="09D8931D" w:rsidR="00CB6A12" w:rsidRDefault="00CB6A12" w:rsidP="00CB6A12">
      <w:pPr>
        <w:pStyle w:val="Heading2"/>
        <w:sectPr w:rsidR="00CB6A12" w:rsidSect="00C669E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t xml:space="preserve">Curriculum Topics: </w:t>
      </w:r>
    </w:p>
    <w:p w14:paraId="306FB156" w14:textId="296D9679" w:rsidR="00CB6A12" w:rsidRDefault="00CB6A12" w:rsidP="00CB6A12">
      <w:pPr>
        <w:pStyle w:val="ListParagraph"/>
        <w:numPr>
          <w:ilvl w:val="0"/>
          <w:numId w:val="2"/>
        </w:numPr>
      </w:pPr>
      <w:r>
        <w:lastRenderedPageBreak/>
        <w:t>Healthcare reform and the Affordable Care Act</w:t>
      </w:r>
    </w:p>
    <w:p w14:paraId="47F30596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t>Immediate opportunities—environmental report and updates</w:t>
      </w:r>
    </w:p>
    <w:p w14:paraId="512A210F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t>Managed Care Networks and Preferred Provider Networks</w:t>
      </w:r>
    </w:p>
    <w:p w14:paraId="584326EC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t>Grants and contracts</w:t>
      </w:r>
    </w:p>
    <w:p w14:paraId="233909D9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t>Identifying and utilizing source documents</w:t>
      </w:r>
    </w:p>
    <w:p w14:paraId="5E3B82B3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t>Marketing, outreach and strategic partnerships</w:t>
      </w:r>
    </w:p>
    <w:p w14:paraId="2C120810" w14:textId="09576F7B" w:rsidR="00CB6A12" w:rsidRDefault="005A267F" w:rsidP="00CB6A12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5549B7" wp14:editId="7A5C76F4">
                <wp:simplePos x="0" y="0"/>
                <wp:positionH relativeFrom="column">
                  <wp:posOffset>4457700</wp:posOffset>
                </wp:positionH>
                <wp:positionV relativeFrom="paragraph">
                  <wp:posOffset>280035</wp:posOffset>
                </wp:positionV>
                <wp:extent cx="1828800" cy="1198880"/>
                <wp:effectExtent l="0" t="0" r="25400" b="2032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198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1D4B472" w14:textId="77777777" w:rsidR="0070570D" w:rsidRPr="00DD27C9" w:rsidRDefault="0070570D" w:rsidP="00C15B0F">
                            <w:pPr>
                              <w:contextualSpacing/>
                              <w:rPr>
                                <w:b/>
                              </w:rPr>
                            </w:pPr>
                            <w:r w:rsidRPr="001B7FA0">
                              <w:rPr>
                                <w:b/>
                              </w:rPr>
                              <w:t>Want to learn more?</w:t>
                            </w:r>
                            <w:r>
                              <w:t xml:space="preserve"> Join us for a free info</w:t>
                            </w:r>
                            <w:r w:rsidRPr="001B7FA0">
                              <w:t xml:space="preserve"> session on Friday, March 7, 2014 or Friday, March 21, 2014 from 3-4pm ET (2 CT/1 MT/12 PT)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1pt;margin-top:22.05pt;width:2in;height:94.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" filled="f" strokecolor="#4f81bd [3204]">
                <v:textbox style="mso-fit-shape-to-text:t">
                  <w:txbxContent>
                    <w:p w14:paraId="11D4B472" w14:textId="77777777" w:rsidR="0070570D" w:rsidRPr="00DD27C9" w:rsidRDefault="0070570D" w:rsidP="00C15B0F">
                      <w:pPr>
                        <w:contextualSpacing/>
                        <w:rPr>
                          <w:b/>
                        </w:rPr>
                      </w:pPr>
                      <w:r w:rsidRPr="001B7FA0">
                        <w:rPr>
                          <w:b/>
                        </w:rPr>
                        <w:t>Want to learn more?</w:t>
                      </w:r>
                      <w:r>
                        <w:t xml:space="preserve"> Join us for a free info</w:t>
                      </w:r>
                      <w:r w:rsidRPr="001B7FA0">
                        <w:t xml:space="preserve"> session on Friday, March 7, 2014 or Friday, March 21, 2014 from 3-4pm ET (2 CT/1 MT/12 PT)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B6A12">
        <w:t>Unique perspectives and opportunities for addiction professionals</w:t>
      </w:r>
    </w:p>
    <w:p w14:paraId="4ACC0B07" w14:textId="6D2B3E61" w:rsidR="00CB6A12" w:rsidRDefault="00CB6A12" w:rsidP="00CB6A12">
      <w:pPr>
        <w:pStyle w:val="ListParagraph"/>
        <w:numPr>
          <w:ilvl w:val="0"/>
          <w:numId w:val="2"/>
        </w:numPr>
      </w:pPr>
      <w:r>
        <w:t>Whole Health, Health Navigation and addiction treatment &amp; recovery</w:t>
      </w:r>
    </w:p>
    <w:p w14:paraId="10CFF4BF" w14:textId="0F612D88" w:rsidR="00CB6A12" w:rsidRDefault="00CB6A12" w:rsidP="00CB6A12">
      <w:pPr>
        <w:pStyle w:val="ListParagraph"/>
        <w:numPr>
          <w:ilvl w:val="0"/>
          <w:numId w:val="2"/>
        </w:numPr>
      </w:pPr>
      <w:r>
        <w:t>Billing, Claims, Co-pays and third party payer contracts</w:t>
      </w:r>
    </w:p>
    <w:p w14:paraId="14ECF7C4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t>Record keeping and documentation</w:t>
      </w:r>
    </w:p>
    <w:p w14:paraId="61E9CC67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t>New Reimbursement Models</w:t>
      </w:r>
    </w:p>
    <w:p w14:paraId="61538014" w14:textId="1E1C6844" w:rsidR="00CB6A12" w:rsidRDefault="005A267F" w:rsidP="00CB6A12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B64097" wp14:editId="42D8B279">
                <wp:simplePos x="0" y="0"/>
                <wp:positionH relativeFrom="column">
                  <wp:posOffset>4114800</wp:posOffset>
                </wp:positionH>
                <wp:positionV relativeFrom="paragraph">
                  <wp:posOffset>160020</wp:posOffset>
                </wp:positionV>
                <wp:extent cx="2400300" cy="788670"/>
                <wp:effectExtent l="0" t="0" r="38100" b="2413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7886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0FE5953" w14:textId="1C1B07A8" w:rsidR="005A267F" w:rsidRPr="005A267F" w:rsidRDefault="005A267F" w:rsidP="005A267F">
                            <w:pPr>
                              <w:contextualSpacing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5A267F">
                              <w:rPr>
                                <w:sz w:val="32"/>
                                <w:szCs w:val="32"/>
                              </w:rPr>
                              <w:t>www.naadac.org</w:t>
                            </w:r>
                            <w:proofErr w:type="gramEnd"/>
                            <w:r w:rsidRPr="005A267F">
                              <w:rPr>
                                <w:sz w:val="32"/>
                                <w:szCs w:val="32"/>
                              </w:rPr>
                              <w:t>/businesslearningcollaborative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27" type="#_x0000_t202" style="position:absolute;left:0;text-align:left;margin-left:324pt;margin-top:12.6pt;width:189pt;height:62.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" filled="f" strokecolor="#4f81bd [3204]">
                <v:textbox style="mso-fit-shape-to-text:t">
                  <w:txbxContent>
                    <w:p w14:paraId="20FE5953" w14:textId="1C1B07A8" w:rsidR="005A267F" w:rsidRPr="005A267F" w:rsidRDefault="005A267F" w:rsidP="005A267F">
                      <w:pPr>
                        <w:contextualSpacing/>
                        <w:rPr>
                          <w:b/>
                          <w:sz w:val="32"/>
                          <w:szCs w:val="32"/>
                        </w:rPr>
                      </w:pPr>
                      <w:proofErr w:type="gramStart"/>
                      <w:r w:rsidRPr="005A267F">
                        <w:rPr>
                          <w:sz w:val="32"/>
                          <w:szCs w:val="32"/>
                        </w:rPr>
                        <w:t>www.naadac.org</w:t>
                      </w:r>
                      <w:proofErr w:type="gramEnd"/>
                      <w:r w:rsidRPr="005A267F">
                        <w:rPr>
                          <w:sz w:val="32"/>
                          <w:szCs w:val="32"/>
                        </w:rPr>
                        <w:t>/businesslearningcollaborative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B6A12">
        <w:t>Recovery and Recovery Oriented Systems of Care</w:t>
      </w:r>
    </w:p>
    <w:p w14:paraId="5B657859" w14:textId="5B72FF69" w:rsidR="00CB6A12" w:rsidRDefault="00CB6A12" w:rsidP="00CB6A12">
      <w:pPr>
        <w:pStyle w:val="ListParagraph"/>
        <w:numPr>
          <w:ilvl w:val="0"/>
          <w:numId w:val="2"/>
        </w:numPr>
      </w:pPr>
      <w:r>
        <w:t>Electronic Health Records—Pros and Cons</w:t>
      </w:r>
    </w:p>
    <w:p w14:paraId="5EC6DC8D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t>Sustainability and Diversification</w:t>
      </w:r>
    </w:p>
    <w:p w14:paraId="0E07EE7C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t>The New Role of Customer Service in Healthcare</w:t>
      </w:r>
    </w:p>
    <w:p w14:paraId="6154B5AE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t>Employee wellness, satisfaction and leadership</w:t>
      </w:r>
    </w:p>
    <w:p w14:paraId="09CABB9E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t>Effective Utilization Review</w:t>
      </w:r>
    </w:p>
    <w:p w14:paraId="418C42FD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t>Outcome measures made simpler</w:t>
      </w:r>
    </w:p>
    <w:p w14:paraId="3CF2AC4B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t>DSM 5 and ASAM</w:t>
      </w:r>
    </w:p>
    <w:p w14:paraId="44C87E8E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lastRenderedPageBreak/>
        <w:t xml:space="preserve">Special Topics: trauma informed care, cultural considerations, client choice and demographics within health reform </w:t>
      </w:r>
    </w:p>
    <w:p w14:paraId="5AABE819" w14:textId="77777777" w:rsidR="00CB6A12" w:rsidRDefault="00CB6A12" w:rsidP="00CB6A12">
      <w:pPr>
        <w:pStyle w:val="ListParagraph"/>
        <w:numPr>
          <w:ilvl w:val="0"/>
          <w:numId w:val="2"/>
        </w:numPr>
      </w:pPr>
      <w:r>
        <w:t>Bringing change together within a flexible and updateable strategic plan</w:t>
      </w:r>
    </w:p>
    <w:p w14:paraId="52937216" w14:textId="250CF58E" w:rsidR="000220AD" w:rsidRDefault="00CB6A12" w:rsidP="00067B77">
      <w:pPr>
        <w:pStyle w:val="ListParagraph"/>
        <w:numPr>
          <w:ilvl w:val="0"/>
          <w:numId w:val="2"/>
        </w:numPr>
      </w:pPr>
      <w:r>
        <w:t>Clinical and operational efficiencies</w:t>
      </w:r>
    </w:p>
    <w:p w14:paraId="0F6F1563" w14:textId="129C1828" w:rsidR="005A267F" w:rsidRDefault="005A267F">
      <w:bookmarkStart w:id="0" w:name="_GoBack"/>
      <w:bookmarkEnd w:id="0"/>
    </w:p>
    <w:sectPr w:rsidR="005A267F" w:rsidSect="00CB6A12">
      <w:type w:val="continuous"/>
      <w:pgSz w:w="12240" w:h="15840"/>
      <w:pgMar w:top="720" w:right="720" w:bottom="720" w:left="720" w:header="720" w:footer="720" w:gutter="0"/>
      <w:cols w:num="2" w:space="576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4106A" w14:textId="77777777" w:rsidR="0070570D" w:rsidRDefault="0070570D" w:rsidP="0095132F">
      <w:pPr>
        <w:spacing w:after="0" w:line="240" w:lineRule="auto"/>
      </w:pPr>
      <w:r>
        <w:separator/>
      </w:r>
    </w:p>
  </w:endnote>
  <w:endnote w:type="continuationSeparator" w:id="0">
    <w:p w14:paraId="75B15D47" w14:textId="77777777" w:rsidR="0070570D" w:rsidRDefault="0070570D" w:rsidP="0095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20181" w14:textId="77777777" w:rsidR="0070570D" w:rsidRDefault="0070570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1A24E" w14:textId="77777777" w:rsidR="0070570D" w:rsidRDefault="0070570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32167" w14:textId="77777777" w:rsidR="0070570D" w:rsidRDefault="0070570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91DC7" w14:textId="77777777" w:rsidR="0070570D" w:rsidRDefault="0070570D" w:rsidP="0095132F">
      <w:pPr>
        <w:spacing w:after="0" w:line="240" w:lineRule="auto"/>
      </w:pPr>
      <w:r>
        <w:separator/>
      </w:r>
    </w:p>
  </w:footnote>
  <w:footnote w:type="continuationSeparator" w:id="0">
    <w:p w14:paraId="112943EA" w14:textId="77777777" w:rsidR="0070570D" w:rsidRDefault="0070570D" w:rsidP="0095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3D77A" w14:textId="77777777" w:rsidR="0070570D" w:rsidRDefault="0070570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5C801" w14:textId="345954AB" w:rsidR="0070570D" w:rsidRDefault="0070570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A5E55" w14:textId="77777777" w:rsidR="0070570D" w:rsidRDefault="007057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62CCC"/>
    <w:multiLevelType w:val="hybridMultilevel"/>
    <w:tmpl w:val="9F588972"/>
    <w:lvl w:ilvl="0" w:tplc="DC14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D658A"/>
    <w:multiLevelType w:val="hybridMultilevel"/>
    <w:tmpl w:val="DF2ACCA2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">
    <w:nsid w:val="11104344"/>
    <w:multiLevelType w:val="hybridMultilevel"/>
    <w:tmpl w:val="94EA68F2"/>
    <w:lvl w:ilvl="0" w:tplc="52422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52A00"/>
    <w:multiLevelType w:val="hybridMultilevel"/>
    <w:tmpl w:val="1F9284FE"/>
    <w:lvl w:ilvl="0" w:tplc="B5AE448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B25A1D"/>
    <w:multiLevelType w:val="hybridMultilevel"/>
    <w:tmpl w:val="AF98F8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1B6ABC"/>
    <w:multiLevelType w:val="hybridMultilevel"/>
    <w:tmpl w:val="10304EE4"/>
    <w:lvl w:ilvl="0" w:tplc="5E9AC878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D07FD"/>
    <w:multiLevelType w:val="hybridMultilevel"/>
    <w:tmpl w:val="3FFC1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5F6814"/>
    <w:multiLevelType w:val="hybridMultilevel"/>
    <w:tmpl w:val="4E4E9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D54625"/>
    <w:multiLevelType w:val="hybridMultilevel"/>
    <w:tmpl w:val="701C7FD6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40EA01B2"/>
    <w:multiLevelType w:val="hybridMultilevel"/>
    <w:tmpl w:val="75C6941E"/>
    <w:lvl w:ilvl="0" w:tplc="52422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5B2424"/>
    <w:multiLevelType w:val="hybridMultilevel"/>
    <w:tmpl w:val="73EA76A8"/>
    <w:lvl w:ilvl="0" w:tplc="52422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0163F7"/>
    <w:multiLevelType w:val="hybridMultilevel"/>
    <w:tmpl w:val="9E8493CC"/>
    <w:lvl w:ilvl="0" w:tplc="26AE543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2E6DB4"/>
    <w:multiLevelType w:val="hybridMultilevel"/>
    <w:tmpl w:val="C5A29138"/>
    <w:lvl w:ilvl="0" w:tplc="52422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0748BA"/>
    <w:multiLevelType w:val="multilevel"/>
    <w:tmpl w:val="B0181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784599"/>
    <w:multiLevelType w:val="hybridMultilevel"/>
    <w:tmpl w:val="9D5AF9B0"/>
    <w:lvl w:ilvl="0" w:tplc="524227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9EC4FDB"/>
    <w:multiLevelType w:val="hybridMultilevel"/>
    <w:tmpl w:val="9990C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5D0AB9"/>
    <w:multiLevelType w:val="hybridMultilevel"/>
    <w:tmpl w:val="043CC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366CB5"/>
    <w:multiLevelType w:val="hybridMultilevel"/>
    <w:tmpl w:val="5EFC5D24"/>
    <w:lvl w:ilvl="0" w:tplc="5E9AC878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4D3712"/>
    <w:multiLevelType w:val="hybridMultilevel"/>
    <w:tmpl w:val="DC880A4C"/>
    <w:lvl w:ilvl="0" w:tplc="52422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6"/>
  </w:num>
  <w:num w:numId="5">
    <w:abstractNumId w:val="16"/>
  </w:num>
  <w:num w:numId="6">
    <w:abstractNumId w:val="8"/>
  </w:num>
  <w:num w:numId="7">
    <w:abstractNumId w:val="7"/>
  </w:num>
  <w:num w:numId="8">
    <w:abstractNumId w:val="11"/>
  </w:num>
  <w:num w:numId="9">
    <w:abstractNumId w:val="3"/>
  </w:num>
  <w:num w:numId="10">
    <w:abstractNumId w:val="5"/>
  </w:num>
  <w:num w:numId="11">
    <w:abstractNumId w:val="13"/>
  </w:num>
  <w:num w:numId="12">
    <w:abstractNumId w:val="17"/>
  </w:num>
  <w:num w:numId="13">
    <w:abstractNumId w:val="0"/>
  </w:num>
  <w:num w:numId="14">
    <w:abstractNumId w:val="2"/>
  </w:num>
  <w:num w:numId="15">
    <w:abstractNumId w:val="9"/>
  </w:num>
  <w:num w:numId="16">
    <w:abstractNumId w:val="14"/>
  </w:num>
  <w:num w:numId="17">
    <w:abstractNumId w:val="12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FF5"/>
    <w:rsid w:val="00015532"/>
    <w:rsid w:val="000155F6"/>
    <w:rsid w:val="000220AD"/>
    <w:rsid w:val="00027E18"/>
    <w:rsid w:val="00044F6B"/>
    <w:rsid w:val="000456E9"/>
    <w:rsid w:val="00055AF9"/>
    <w:rsid w:val="000634F8"/>
    <w:rsid w:val="000663CB"/>
    <w:rsid w:val="00067B77"/>
    <w:rsid w:val="00073C22"/>
    <w:rsid w:val="000809C6"/>
    <w:rsid w:val="00091F5A"/>
    <w:rsid w:val="000933AB"/>
    <w:rsid w:val="000A7C25"/>
    <w:rsid w:val="000B3D6D"/>
    <w:rsid w:val="000B3EAB"/>
    <w:rsid w:val="000C1385"/>
    <w:rsid w:val="00107A14"/>
    <w:rsid w:val="00121627"/>
    <w:rsid w:val="00122459"/>
    <w:rsid w:val="00135085"/>
    <w:rsid w:val="00135429"/>
    <w:rsid w:val="00161C0A"/>
    <w:rsid w:val="00162C1D"/>
    <w:rsid w:val="00164223"/>
    <w:rsid w:val="001660D4"/>
    <w:rsid w:val="00180015"/>
    <w:rsid w:val="00194863"/>
    <w:rsid w:val="00194BE2"/>
    <w:rsid w:val="001B7FA0"/>
    <w:rsid w:val="001C1BD8"/>
    <w:rsid w:val="001C5785"/>
    <w:rsid w:val="001D4A72"/>
    <w:rsid w:val="001E2FCE"/>
    <w:rsid w:val="001E3E1A"/>
    <w:rsid w:val="00204545"/>
    <w:rsid w:val="00207185"/>
    <w:rsid w:val="0021342B"/>
    <w:rsid w:val="00213668"/>
    <w:rsid w:val="00216D96"/>
    <w:rsid w:val="00223557"/>
    <w:rsid w:val="00226078"/>
    <w:rsid w:val="00226F82"/>
    <w:rsid w:val="002329B4"/>
    <w:rsid w:val="00244F9F"/>
    <w:rsid w:val="00266AE9"/>
    <w:rsid w:val="002677ED"/>
    <w:rsid w:val="00270CF6"/>
    <w:rsid w:val="002734F9"/>
    <w:rsid w:val="00281A6C"/>
    <w:rsid w:val="00282E05"/>
    <w:rsid w:val="00283253"/>
    <w:rsid w:val="002958FA"/>
    <w:rsid w:val="002A5C00"/>
    <w:rsid w:val="002B2F78"/>
    <w:rsid w:val="002D2822"/>
    <w:rsid w:val="002D3EC6"/>
    <w:rsid w:val="002E5415"/>
    <w:rsid w:val="002F3E3B"/>
    <w:rsid w:val="002F7133"/>
    <w:rsid w:val="002F7F90"/>
    <w:rsid w:val="00303DBC"/>
    <w:rsid w:val="00305C5B"/>
    <w:rsid w:val="00305EE4"/>
    <w:rsid w:val="00306F81"/>
    <w:rsid w:val="00314B11"/>
    <w:rsid w:val="00315909"/>
    <w:rsid w:val="00327CC2"/>
    <w:rsid w:val="003343F1"/>
    <w:rsid w:val="00334463"/>
    <w:rsid w:val="00334B1D"/>
    <w:rsid w:val="003405C3"/>
    <w:rsid w:val="003453B0"/>
    <w:rsid w:val="003545E2"/>
    <w:rsid w:val="00376317"/>
    <w:rsid w:val="00384104"/>
    <w:rsid w:val="003A1DCE"/>
    <w:rsid w:val="003B312C"/>
    <w:rsid w:val="003B5C3B"/>
    <w:rsid w:val="003C2909"/>
    <w:rsid w:val="003C336D"/>
    <w:rsid w:val="003C40A0"/>
    <w:rsid w:val="003C577F"/>
    <w:rsid w:val="003E1CCD"/>
    <w:rsid w:val="00402EE8"/>
    <w:rsid w:val="00411297"/>
    <w:rsid w:val="00417C5A"/>
    <w:rsid w:val="00422886"/>
    <w:rsid w:val="00426417"/>
    <w:rsid w:val="0043386C"/>
    <w:rsid w:val="00442E3B"/>
    <w:rsid w:val="00446F5A"/>
    <w:rsid w:val="00453F10"/>
    <w:rsid w:val="00472DC3"/>
    <w:rsid w:val="00473B33"/>
    <w:rsid w:val="00475B48"/>
    <w:rsid w:val="00476A55"/>
    <w:rsid w:val="0048401E"/>
    <w:rsid w:val="0049645F"/>
    <w:rsid w:val="00497C7B"/>
    <w:rsid w:val="004B30B5"/>
    <w:rsid w:val="004D1D59"/>
    <w:rsid w:val="004D623B"/>
    <w:rsid w:val="004E09B9"/>
    <w:rsid w:val="004E0D35"/>
    <w:rsid w:val="004F2DBC"/>
    <w:rsid w:val="004F370A"/>
    <w:rsid w:val="00501735"/>
    <w:rsid w:val="0050533A"/>
    <w:rsid w:val="0050573D"/>
    <w:rsid w:val="005230C7"/>
    <w:rsid w:val="0052340A"/>
    <w:rsid w:val="00525728"/>
    <w:rsid w:val="00526150"/>
    <w:rsid w:val="00531C95"/>
    <w:rsid w:val="00532EB2"/>
    <w:rsid w:val="00537765"/>
    <w:rsid w:val="005410B1"/>
    <w:rsid w:val="0054538D"/>
    <w:rsid w:val="005579FC"/>
    <w:rsid w:val="0056209D"/>
    <w:rsid w:val="00562F54"/>
    <w:rsid w:val="005654F5"/>
    <w:rsid w:val="0058563B"/>
    <w:rsid w:val="00587332"/>
    <w:rsid w:val="0059379A"/>
    <w:rsid w:val="0059757D"/>
    <w:rsid w:val="005A267F"/>
    <w:rsid w:val="005B75DF"/>
    <w:rsid w:val="005C5BE2"/>
    <w:rsid w:val="005D5147"/>
    <w:rsid w:val="005D6D8D"/>
    <w:rsid w:val="005E186F"/>
    <w:rsid w:val="005E4D49"/>
    <w:rsid w:val="005E6D3E"/>
    <w:rsid w:val="005F5267"/>
    <w:rsid w:val="005F5F63"/>
    <w:rsid w:val="005F734D"/>
    <w:rsid w:val="005F7706"/>
    <w:rsid w:val="00606B11"/>
    <w:rsid w:val="006231DB"/>
    <w:rsid w:val="00627072"/>
    <w:rsid w:val="006272F2"/>
    <w:rsid w:val="0064300A"/>
    <w:rsid w:val="00643D3A"/>
    <w:rsid w:val="006538CF"/>
    <w:rsid w:val="00656F28"/>
    <w:rsid w:val="00657359"/>
    <w:rsid w:val="006609B6"/>
    <w:rsid w:val="00667361"/>
    <w:rsid w:val="00667A08"/>
    <w:rsid w:val="006703DE"/>
    <w:rsid w:val="00671045"/>
    <w:rsid w:val="0067140A"/>
    <w:rsid w:val="00683299"/>
    <w:rsid w:val="00683FD2"/>
    <w:rsid w:val="0069056A"/>
    <w:rsid w:val="00696197"/>
    <w:rsid w:val="00696D58"/>
    <w:rsid w:val="006B0899"/>
    <w:rsid w:val="006B4323"/>
    <w:rsid w:val="006B5D37"/>
    <w:rsid w:val="006C001D"/>
    <w:rsid w:val="006D45AD"/>
    <w:rsid w:val="006D6CC5"/>
    <w:rsid w:val="006D7E1C"/>
    <w:rsid w:val="006E0247"/>
    <w:rsid w:val="006F0936"/>
    <w:rsid w:val="006F0AD4"/>
    <w:rsid w:val="006F0AE1"/>
    <w:rsid w:val="007005A1"/>
    <w:rsid w:val="0070570D"/>
    <w:rsid w:val="00707229"/>
    <w:rsid w:val="007114A8"/>
    <w:rsid w:val="007141C6"/>
    <w:rsid w:val="007229CB"/>
    <w:rsid w:val="00725A14"/>
    <w:rsid w:val="007278B1"/>
    <w:rsid w:val="007327F8"/>
    <w:rsid w:val="00741ED2"/>
    <w:rsid w:val="00747218"/>
    <w:rsid w:val="00766564"/>
    <w:rsid w:val="00772E09"/>
    <w:rsid w:val="007750A1"/>
    <w:rsid w:val="00796D6E"/>
    <w:rsid w:val="007A4533"/>
    <w:rsid w:val="007B4C9D"/>
    <w:rsid w:val="007B52D9"/>
    <w:rsid w:val="007B6CB2"/>
    <w:rsid w:val="007C1989"/>
    <w:rsid w:val="007C5026"/>
    <w:rsid w:val="007C5679"/>
    <w:rsid w:val="007D14D4"/>
    <w:rsid w:val="007E6127"/>
    <w:rsid w:val="007F75FD"/>
    <w:rsid w:val="008112B1"/>
    <w:rsid w:val="00817347"/>
    <w:rsid w:val="00821890"/>
    <w:rsid w:val="00831A69"/>
    <w:rsid w:val="008428C2"/>
    <w:rsid w:val="00851764"/>
    <w:rsid w:val="00852E53"/>
    <w:rsid w:val="00860FE5"/>
    <w:rsid w:val="0086577D"/>
    <w:rsid w:val="0087017B"/>
    <w:rsid w:val="00872A09"/>
    <w:rsid w:val="00875932"/>
    <w:rsid w:val="0087650B"/>
    <w:rsid w:val="00883821"/>
    <w:rsid w:val="008A233B"/>
    <w:rsid w:val="008B5BCC"/>
    <w:rsid w:val="008B7377"/>
    <w:rsid w:val="008C7FDA"/>
    <w:rsid w:val="008E054A"/>
    <w:rsid w:val="008E57F7"/>
    <w:rsid w:val="008E768A"/>
    <w:rsid w:val="008F2DFB"/>
    <w:rsid w:val="008F31EC"/>
    <w:rsid w:val="008F32B0"/>
    <w:rsid w:val="008F7479"/>
    <w:rsid w:val="00910CB7"/>
    <w:rsid w:val="00912827"/>
    <w:rsid w:val="00913C02"/>
    <w:rsid w:val="00922CB3"/>
    <w:rsid w:val="00924561"/>
    <w:rsid w:val="009264F4"/>
    <w:rsid w:val="00926DC3"/>
    <w:rsid w:val="00933F7F"/>
    <w:rsid w:val="00934B7E"/>
    <w:rsid w:val="00940F9E"/>
    <w:rsid w:val="00944927"/>
    <w:rsid w:val="00944B52"/>
    <w:rsid w:val="0095132F"/>
    <w:rsid w:val="009615B5"/>
    <w:rsid w:val="00961BE7"/>
    <w:rsid w:val="00963C8F"/>
    <w:rsid w:val="0097488A"/>
    <w:rsid w:val="00980075"/>
    <w:rsid w:val="00981D0C"/>
    <w:rsid w:val="00982597"/>
    <w:rsid w:val="009A17A6"/>
    <w:rsid w:val="009A655F"/>
    <w:rsid w:val="009C7250"/>
    <w:rsid w:val="009D3F4F"/>
    <w:rsid w:val="009E5CE1"/>
    <w:rsid w:val="009F63C3"/>
    <w:rsid w:val="00A03BED"/>
    <w:rsid w:val="00A15C57"/>
    <w:rsid w:val="00A62492"/>
    <w:rsid w:val="00A6283B"/>
    <w:rsid w:val="00A80762"/>
    <w:rsid w:val="00A8269A"/>
    <w:rsid w:val="00A973DE"/>
    <w:rsid w:val="00AA0C3B"/>
    <w:rsid w:val="00AB61D0"/>
    <w:rsid w:val="00AC1260"/>
    <w:rsid w:val="00AC4126"/>
    <w:rsid w:val="00AC6357"/>
    <w:rsid w:val="00AD612E"/>
    <w:rsid w:val="00AE31B2"/>
    <w:rsid w:val="00AE3DD1"/>
    <w:rsid w:val="00AF2783"/>
    <w:rsid w:val="00B01EC0"/>
    <w:rsid w:val="00B10FE7"/>
    <w:rsid w:val="00B22D23"/>
    <w:rsid w:val="00B262C9"/>
    <w:rsid w:val="00B35FCD"/>
    <w:rsid w:val="00B44F01"/>
    <w:rsid w:val="00B45536"/>
    <w:rsid w:val="00B45F4E"/>
    <w:rsid w:val="00B473B5"/>
    <w:rsid w:val="00B5031E"/>
    <w:rsid w:val="00B53AC4"/>
    <w:rsid w:val="00B54E88"/>
    <w:rsid w:val="00B65409"/>
    <w:rsid w:val="00B673B6"/>
    <w:rsid w:val="00B70A32"/>
    <w:rsid w:val="00B77FF5"/>
    <w:rsid w:val="00B90701"/>
    <w:rsid w:val="00BA52D0"/>
    <w:rsid w:val="00BC182E"/>
    <w:rsid w:val="00BD4710"/>
    <w:rsid w:val="00BE396C"/>
    <w:rsid w:val="00C040EA"/>
    <w:rsid w:val="00C043EB"/>
    <w:rsid w:val="00C07E1E"/>
    <w:rsid w:val="00C13F24"/>
    <w:rsid w:val="00C15B0F"/>
    <w:rsid w:val="00C17231"/>
    <w:rsid w:val="00C21B35"/>
    <w:rsid w:val="00C32ACB"/>
    <w:rsid w:val="00C439B1"/>
    <w:rsid w:val="00C50345"/>
    <w:rsid w:val="00C50A6E"/>
    <w:rsid w:val="00C53930"/>
    <w:rsid w:val="00C669EA"/>
    <w:rsid w:val="00C66D6B"/>
    <w:rsid w:val="00C775F7"/>
    <w:rsid w:val="00C91BC9"/>
    <w:rsid w:val="00C91F4A"/>
    <w:rsid w:val="00C9371B"/>
    <w:rsid w:val="00C96858"/>
    <w:rsid w:val="00CA1B29"/>
    <w:rsid w:val="00CA3BF3"/>
    <w:rsid w:val="00CB6A12"/>
    <w:rsid w:val="00CC19B8"/>
    <w:rsid w:val="00CC3EC7"/>
    <w:rsid w:val="00CC59F1"/>
    <w:rsid w:val="00CD2CD2"/>
    <w:rsid w:val="00CE5EA2"/>
    <w:rsid w:val="00CE7082"/>
    <w:rsid w:val="00CF02CE"/>
    <w:rsid w:val="00CF2547"/>
    <w:rsid w:val="00D03314"/>
    <w:rsid w:val="00D10BC3"/>
    <w:rsid w:val="00D25140"/>
    <w:rsid w:val="00D25805"/>
    <w:rsid w:val="00D302E3"/>
    <w:rsid w:val="00D41583"/>
    <w:rsid w:val="00D42E2C"/>
    <w:rsid w:val="00D47800"/>
    <w:rsid w:val="00D53560"/>
    <w:rsid w:val="00D60BB1"/>
    <w:rsid w:val="00D614B3"/>
    <w:rsid w:val="00D672D0"/>
    <w:rsid w:val="00D8524E"/>
    <w:rsid w:val="00DA0038"/>
    <w:rsid w:val="00DA1738"/>
    <w:rsid w:val="00DA5A68"/>
    <w:rsid w:val="00DA61C4"/>
    <w:rsid w:val="00DA6B5E"/>
    <w:rsid w:val="00DB7A08"/>
    <w:rsid w:val="00DC0D07"/>
    <w:rsid w:val="00DC7223"/>
    <w:rsid w:val="00DF0B62"/>
    <w:rsid w:val="00DF6309"/>
    <w:rsid w:val="00E0107A"/>
    <w:rsid w:val="00E12DDE"/>
    <w:rsid w:val="00E17350"/>
    <w:rsid w:val="00E209B2"/>
    <w:rsid w:val="00E21DCD"/>
    <w:rsid w:val="00E30981"/>
    <w:rsid w:val="00E3611B"/>
    <w:rsid w:val="00E36560"/>
    <w:rsid w:val="00E4252F"/>
    <w:rsid w:val="00E4328D"/>
    <w:rsid w:val="00E467F3"/>
    <w:rsid w:val="00E50FB3"/>
    <w:rsid w:val="00E516E1"/>
    <w:rsid w:val="00E542B5"/>
    <w:rsid w:val="00E56EF3"/>
    <w:rsid w:val="00E60447"/>
    <w:rsid w:val="00E63080"/>
    <w:rsid w:val="00E80D12"/>
    <w:rsid w:val="00E83C81"/>
    <w:rsid w:val="00E94F50"/>
    <w:rsid w:val="00EA09E3"/>
    <w:rsid w:val="00EC4A0C"/>
    <w:rsid w:val="00F03B4F"/>
    <w:rsid w:val="00F048AF"/>
    <w:rsid w:val="00F04D1F"/>
    <w:rsid w:val="00F1264A"/>
    <w:rsid w:val="00F20E1A"/>
    <w:rsid w:val="00F2224B"/>
    <w:rsid w:val="00F26468"/>
    <w:rsid w:val="00F26C20"/>
    <w:rsid w:val="00F27633"/>
    <w:rsid w:val="00F27A37"/>
    <w:rsid w:val="00F436E7"/>
    <w:rsid w:val="00F50F0F"/>
    <w:rsid w:val="00F579E3"/>
    <w:rsid w:val="00F7040D"/>
    <w:rsid w:val="00F810F9"/>
    <w:rsid w:val="00F87336"/>
    <w:rsid w:val="00F9661C"/>
    <w:rsid w:val="00FA2696"/>
    <w:rsid w:val="00FC36E5"/>
    <w:rsid w:val="00FD3676"/>
    <w:rsid w:val="00FD50BC"/>
    <w:rsid w:val="00FE58A1"/>
    <w:rsid w:val="00FE62FB"/>
    <w:rsid w:val="00FF111C"/>
    <w:rsid w:val="00FF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233D1B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65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65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7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1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32F"/>
  </w:style>
  <w:style w:type="paragraph" w:styleId="Footer">
    <w:name w:val="footer"/>
    <w:basedOn w:val="Normal"/>
    <w:link w:val="FooterChar"/>
    <w:uiPriority w:val="99"/>
    <w:unhideWhenUsed/>
    <w:rsid w:val="00951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32F"/>
  </w:style>
  <w:style w:type="paragraph" w:styleId="BalloonText">
    <w:name w:val="Balloon Text"/>
    <w:basedOn w:val="Normal"/>
    <w:link w:val="BalloonTextChar"/>
    <w:uiPriority w:val="99"/>
    <w:semiHidden/>
    <w:unhideWhenUsed/>
    <w:rsid w:val="00B455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536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475B48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765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7650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7650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C32A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2A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2A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32A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65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65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7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1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32F"/>
  </w:style>
  <w:style w:type="paragraph" w:styleId="Footer">
    <w:name w:val="footer"/>
    <w:basedOn w:val="Normal"/>
    <w:link w:val="FooterChar"/>
    <w:uiPriority w:val="99"/>
    <w:unhideWhenUsed/>
    <w:rsid w:val="00951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32F"/>
  </w:style>
  <w:style w:type="paragraph" w:styleId="BalloonText">
    <w:name w:val="Balloon Text"/>
    <w:basedOn w:val="Normal"/>
    <w:link w:val="BalloonTextChar"/>
    <w:uiPriority w:val="99"/>
    <w:semiHidden/>
    <w:unhideWhenUsed/>
    <w:rsid w:val="00B455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536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475B48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765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7650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7650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C32A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2A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2A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32A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20870-5CFE-DE40-9E83-98DCE1735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671</Words>
  <Characters>3918</Characters>
  <Application>Microsoft Macintosh Word</Application>
  <DocSecurity>0</DocSecurity>
  <Lines>150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Misti Storie</cp:lastModifiedBy>
  <cp:revision>3</cp:revision>
  <cp:lastPrinted>2014-01-31T01:25:00Z</cp:lastPrinted>
  <dcterms:created xsi:type="dcterms:W3CDTF">2014-02-12T02:41:00Z</dcterms:created>
  <dcterms:modified xsi:type="dcterms:W3CDTF">2014-02-12T03:07:00Z</dcterms:modified>
</cp:coreProperties>
</file>